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TAKSİM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1. Ortaklar : Aşağıda imzaları bulunan taraflar, işbu taksim sözleşmesinde belirtilen şartlara uygun olarak hak ve yükümlülüklerini paylaşmayı kabul etmişlerdir.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 ile tarafların ortak mülkiyetindeki taşınmaz, hak veya menkul malların paylarına göre ayrılması, bölünmesi ve paylaşılması esasları belirlenmiştir.</w:t>
      </w:r>
    </w:p>
    <w:p/>
    <w:p>
      <w:r>
        <w:rPr>
          <w:b/>
          <w:sz w:val="20"/>
        </w:rPr>
        <w:t>Madde 1 – Ortaklığın Sona Erdirilmesi</w:t>
      </w:r>
    </w:p>
    <w:p>
      <w:r>
        <w:rPr>
          <w:b w:val="0"/>
          <w:sz w:val="20"/>
        </w:rPr>
        <w:t>Ortaklar, ortak mülkiyete konu olan mal veya hakların taksim edilerek paylarının ayrılmasını, işbu sözleşmede belirtilen usul ve esaslar dahilinde kabul ederler.</w:t>
      </w:r>
    </w:p>
    <w:p/>
    <w:p>
      <w:r>
        <w:rPr>
          <w:b/>
          <w:sz w:val="20"/>
        </w:rPr>
        <w:t>Madde 2 – Payların Belirlenmesi</w:t>
      </w:r>
    </w:p>
    <w:p>
      <w:r>
        <w:rPr>
          <w:b w:val="0"/>
          <w:sz w:val="20"/>
        </w:rPr>
        <w:t>Ortakların taşınmaz veya diğer mallar üzerindeki payları, tapu kayıtları ve diğer resmi belgeler esas alınarak tespit edilmiştir. Payların ayrılması bu tespitler doğrultusunda yapılacaktır.</w:t>
      </w:r>
    </w:p>
    <w:p/>
    <w:p>
      <w:r>
        <w:rPr>
          <w:b/>
          <w:sz w:val="20"/>
        </w:rPr>
        <w:t>Madde 3 – Taksim Usulü</w:t>
      </w:r>
    </w:p>
    <w:p>
      <w:r>
        <w:rPr>
          <w:b w:val="0"/>
          <w:sz w:val="20"/>
        </w:rPr>
        <w:t>Payların ayrılması sırasında taraflar, malın fiziksel bölünmesi, satış yoluyla paylaşılması veya diğer hukuki işlemlerle hakların devredilmesi yöntemlerinden biri üzerinde mutabık kalmıştır.</w:t>
      </w:r>
    </w:p>
    <w:p/>
    <w:p>
      <w:r>
        <w:rPr>
          <w:b/>
          <w:sz w:val="20"/>
        </w:rPr>
        <w:t>Madde 4 – Masraflar ve Vergiler</w:t>
      </w:r>
    </w:p>
    <w:p>
      <w:r>
        <w:rPr>
          <w:b w:val="0"/>
          <w:sz w:val="20"/>
        </w:rPr>
        <w:t>Taksim işlemleri ile ilgili her türlü resmi harç, vergi ve diğer masraflar tarafların payları oranında paylaşılır. Masrafların ödenmesi ve işlemlerin tamamlanması tarafların sorumluluğundadır.</w:t>
      </w:r>
    </w:p>
    <w:p/>
    <w:p>
      <w:r>
        <w:rPr>
          <w:b/>
          <w:sz w:val="20"/>
        </w:rPr>
        <w:t>Madde 5 – Çeşitli Hükümler</w:t>
      </w:r>
    </w:p>
    <w:p>
      <w:r>
        <w:rPr>
          <w:b w:val="0"/>
          <w:sz w:val="20"/>
        </w:rPr>
        <w:t>Taraflar arasında doğabilecek uyuşmazlıklarda Türkiye Cumhuriyeti yasaları uygulanacak ve yetkili mahkeme İstanbul (Anadolu) Adliyesi Mahkemeleri olacaktır.</w:t>
      </w:r>
    </w:p>
    <w:p/>
    <w:p>
      <w:r>
        <w:rPr>
          <w:b/>
          <w:sz w:val="20"/>
        </w:rPr>
        <w:t>Madde 6 – İhtilafların Çözümü</w:t>
      </w:r>
    </w:p>
    <w:p>
      <w:r>
        <w:rPr>
          <w:b w:val="0"/>
          <w:sz w:val="20"/>
        </w:rPr>
        <w:t>Taraflar, işbu sözleşmeden doğabilecek anlaşmazlıkları öncelikle dostane yollarla çözmeyi kabul ederler. Anlaşmazlıkların devamı halinde Türk hukuk kuralları çerçevesinde yasal yollara başvurulacaktır.</w:t>
      </w:r>
    </w:p>
    <w:p/>
    <w:p/>
    <w:p>
      <w:pPr>
        <w:jc w:val="center"/>
      </w:pPr>
      <w:r>
        <w:rPr>
          <w:b w:val="0"/>
          <w:sz w:val="20"/>
        </w:rPr>
        <w:t>İşbu sözleşme .............. sayfa ve .............. nüsha olarak düzenlenmiş olup, taraflarca okunup anlaşılarak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https://sozlesmesiuzmani.com/taksim-sozlesmesi-ornegi/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taksim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